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A7" w:rsidRDefault="0030613D" w:rsidP="0030613D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30613D">
        <w:rPr>
          <w:rFonts w:ascii="Garamond" w:hAnsi="Garamond"/>
          <w:b/>
          <w:sz w:val="28"/>
          <w:szCs w:val="28"/>
        </w:rPr>
        <w:t xml:space="preserve">Management of Biological </w:t>
      </w:r>
      <w:r w:rsidR="00A02A7E">
        <w:rPr>
          <w:rFonts w:ascii="Garamond" w:hAnsi="Garamond"/>
          <w:b/>
          <w:sz w:val="28"/>
          <w:szCs w:val="28"/>
        </w:rPr>
        <w:t xml:space="preserve">and Non-hazardous Lab </w:t>
      </w:r>
      <w:r w:rsidRPr="0030613D">
        <w:rPr>
          <w:rFonts w:ascii="Garamond" w:hAnsi="Garamond"/>
          <w:b/>
          <w:sz w:val="28"/>
          <w:szCs w:val="28"/>
        </w:rPr>
        <w:t>Waste</w:t>
      </w:r>
      <w:r>
        <w:rPr>
          <w:rFonts w:ascii="Garamond" w:hAnsi="Garamond"/>
          <w:b/>
          <w:sz w:val="28"/>
          <w:szCs w:val="28"/>
        </w:rPr>
        <w:t xml:space="preserve"> </w:t>
      </w:r>
      <w:r w:rsidR="008F71F8">
        <w:rPr>
          <w:rFonts w:ascii="Garamond" w:hAnsi="Garamond"/>
          <w:b/>
          <w:sz w:val="28"/>
          <w:szCs w:val="28"/>
        </w:rPr>
        <w:t xml:space="preserve">Generated in </w:t>
      </w:r>
      <w:r w:rsidR="00DB5329">
        <w:rPr>
          <w:rFonts w:ascii="Garamond" w:hAnsi="Garamond"/>
          <w:b/>
          <w:sz w:val="28"/>
          <w:szCs w:val="28"/>
        </w:rPr>
        <w:t>Chemistry Department</w:t>
      </w:r>
      <w:r w:rsidR="008F71F8">
        <w:rPr>
          <w:rFonts w:ascii="Garamond" w:hAnsi="Garamond"/>
          <w:b/>
          <w:sz w:val="28"/>
          <w:szCs w:val="28"/>
        </w:rPr>
        <w:t xml:space="preserve"> Laboratories</w:t>
      </w:r>
    </w:p>
    <w:tbl>
      <w:tblPr>
        <w:tblStyle w:val="TableGrid"/>
        <w:tblW w:w="15352" w:type="dxa"/>
        <w:tblInd w:w="-1062" w:type="dxa"/>
        <w:tblLook w:val="04A0" w:firstRow="1" w:lastRow="0" w:firstColumn="1" w:lastColumn="0" w:noHBand="0" w:noVBand="1"/>
      </w:tblPr>
      <w:tblGrid>
        <w:gridCol w:w="1350"/>
        <w:gridCol w:w="2970"/>
        <w:gridCol w:w="2430"/>
        <w:gridCol w:w="3420"/>
        <w:gridCol w:w="3202"/>
        <w:gridCol w:w="1980"/>
      </w:tblGrid>
      <w:tr w:rsidR="00C20FC2" w:rsidTr="00C20FC2">
        <w:trPr>
          <w:trHeight w:val="1275"/>
        </w:trPr>
        <w:tc>
          <w:tcPr>
            <w:tcW w:w="1350" w:type="dxa"/>
            <w:vMerge w:val="restart"/>
          </w:tcPr>
          <w:p w:rsidR="00C20FC2" w:rsidRDefault="00C20FC2" w:rsidP="0030613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shd w:val="clear" w:color="auto" w:fill="D9D9D9" w:themeFill="background1" w:themeFillShade="D9"/>
          </w:tcPr>
          <w:p w:rsidR="00C20FC2" w:rsidRPr="008F71F8" w:rsidRDefault="00C20FC2" w:rsidP="000B28B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71F8">
              <w:rPr>
                <w:rFonts w:ascii="Garamond" w:hAnsi="Garamond"/>
                <w:b/>
                <w:sz w:val="24"/>
                <w:szCs w:val="24"/>
              </w:rPr>
              <w:t xml:space="preserve">Sharps that are unused or have </w:t>
            </w:r>
            <w:r w:rsidRPr="008F71F8">
              <w:rPr>
                <w:rFonts w:ascii="Garamond" w:hAnsi="Garamond"/>
                <w:b/>
                <w:sz w:val="24"/>
                <w:szCs w:val="24"/>
                <w:u w:val="single"/>
              </w:rPr>
              <w:t>not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 xml:space="preserve"> been in contact with B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>L 1 or 2 material, r</w:t>
            </w:r>
            <w:r w:rsidR="00656B1E">
              <w:rPr>
                <w:rFonts w:ascii="Garamond" w:hAnsi="Garamond"/>
                <w:b/>
                <w:sz w:val="24"/>
                <w:szCs w:val="24"/>
              </w:rPr>
              <w:t xml:space="preserve">/s 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>DNA molecules</w:t>
            </w:r>
            <w:r w:rsidR="00656B1E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>, human or animal tissues or cells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C20FC2" w:rsidRPr="008F71F8" w:rsidRDefault="00C20FC2" w:rsidP="0030613D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F71F8">
              <w:rPr>
                <w:rFonts w:ascii="Garamond" w:hAnsi="Garamond"/>
                <w:b/>
                <w:sz w:val="24"/>
                <w:szCs w:val="24"/>
              </w:rPr>
              <w:t>Labware</w:t>
            </w:r>
            <w:proofErr w:type="spellEnd"/>
            <w:r w:rsidRPr="008F71F8">
              <w:rPr>
                <w:rFonts w:ascii="Garamond" w:hAnsi="Garamond"/>
                <w:b/>
                <w:sz w:val="24"/>
                <w:szCs w:val="24"/>
              </w:rPr>
              <w:t xml:space="preserve"> that has not been used with B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 xml:space="preserve">L1 or 2 material, </w:t>
            </w: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  <w:r w:rsidR="00656B1E">
              <w:rPr>
                <w:rFonts w:ascii="Garamond" w:hAnsi="Garamond"/>
                <w:b/>
                <w:sz w:val="24"/>
                <w:szCs w:val="24"/>
              </w:rPr>
              <w:t xml:space="preserve">/S </w:t>
            </w:r>
            <w:r>
              <w:rPr>
                <w:rFonts w:ascii="Garamond" w:hAnsi="Garamond"/>
                <w:b/>
                <w:sz w:val="24"/>
                <w:szCs w:val="24"/>
              </w:rPr>
              <w:t>DNA</w:t>
            </w:r>
            <w:r w:rsidR="00656B1E">
              <w:rPr>
                <w:rFonts w:ascii="Garamond" w:hAnsi="Garamond"/>
                <w:b/>
                <w:sz w:val="24"/>
                <w:szCs w:val="24"/>
              </w:rPr>
              <w:t xml:space="preserve"> molecules*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>human or animal tissues or cells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</w:tcPr>
          <w:p w:rsidR="00C20FC2" w:rsidRDefault="00C20FC2" w:rsidP="00C20F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71F8">
              <w:rPr>
                <w:rFonts w:ascii="Garamond" w:hAnsi="Garamond"/>
                <w:b/>
                <w:sz w:val="24"/>
                <w:szCs w:val="24"/>
              </w:rPr>
              <w:t>Sharps used for research with B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 xml:space="preserve">L 1 or 2 materials, </w:t>
            </w: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  <w:r w:rsidR="00656B1E">
              <w:rPr>
                <w:rFonts w:ascii="Garamond" w:hAnsi="Garamond"/>
                <w:b/>
                <w:sz w:val="24"/>
                <w:szCs w:val="24"/>
              </w:rPr>
              <w:t xml:space="preserve">/s </w:t>
            </w:r>
            <w:r>
              <w:rPr>
                <w:rFonts w:ascii="Garamond" w:hAnsi="Garamond"/>
                <w:b/>
                <w:sz w:val="24"/>
                <w:szCs w:val="24"/>
              </w:rPr>
              <w:t>DNA molecules</w:t>
            </w:r>
            <w:r w:rsidR="00656B1E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, human or animal 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>tissues or cells</w:t>
            </w:r>
          </w:p>
          <w:p w:rsidR="00C20FC2" w:rsidRPr="008F71F8" w:rsidRDefault="00C20FC2" w:rsidP="00C20FC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695820B6" wp14:editId="74EBE5CB">
                  <wp:extent cx="390953" cy="3701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hazar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21" cy="37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  <w:tcBorders>
              <w:bottom w:val="nil"/>
            </w:tcBorders>
            <w:shd w:val="clear" w:color="auto" w:fill="D9D9D9" w:themeFill="background1" w:themeFillShade="D9"/>
          </w:tcPr>
          <w:p w:rsidR="00C20FC2" w:rsidRPr="008F71F8" w:rsidRDefault="00C20FC2" w:rsidP="00C20F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71F8">
              <w:rPr>
                <w:rFonts w:ascii="Garamond" w:hAnsi="Garamond"/>
                <w:b/>
                <w:sz w:val="24"/>
                <w:szCs w:val="24"/>
              </w:rPr>
              <w:t>Non-sharp regulated medical waste</w:t>
            </w:r>
            <w:r w:rsidRPr="008F71F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>that has been in contact with B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>L1 or 2 material, r</w:t>
            </w:r>
            <w:r w:rsidR="00656B1E">
              <w:rPr>
                <w:rFonts w:ascii="Garamond" w:hAnsi="Garamond"/>
                <w:b/>
                <w:sz w:val="24"/>
                <w:szCs w:val="24"/>
              </w:rPr>
              <w:t xml:space="preserve">/s 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>DNA</w:t>
            </w:r>
            <w:r w:rsidR="00656B1E">
              <w:rPr>
                <w:rFonts w:ascii="Garamond" w:hAnsi="Garamond"/>
                <w:b/>
                <w:sz w:val="24"/>
                <w:szCs w:val="24"/>
              </w:rPr>
              <w:t xml:space="preserve"> molecules</w:t>
            </w:r>
            <w:r w:rsidRPr="008F71F8">
              <w:rPr>
                <w:rFonts w:ascii="Garamond" w:hAnsi="Garamond"/>
                <w:b/>
                <w:sz w:val="24"/>
                <w:szCs w:val="24"/>
              </w:rPr>
              <w:t>, human and animal cells and tissues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C20FC2" w:rsidRDefault="00C20FC2" w:rsidP="0030613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71F8">
              <w:rPr>
                <w:rFonts w:ascii="Garamond" w:hAnsi="Garamond"/>
                <w:b/>
                <w:sz w:val="24"/>
                <w:szCs w:val="24"/>
              </w:rPr>
              <w:t>Infectious Waste  Fluids</w:t>
            </w:r>
          </w:p>
          <w:p w:rsidR="00C20FC2" w:rsidRPr="008F71F8" w:rsidRDefault="00C20FC2" w:rsidP="00C20FC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18DB8A5E" wp14:editId="39580819">
                  <wp:extent cx="390953" cy="37015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hazar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21" cy="37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C2" w:rsidTr="00C20FC2">
        <w:trPr>
          <w:trHeight w:val="660"/>
        </w:trPr>
        <w:tc>
          <w:tcPr>
            <w:tcW w:w="1350" w:type="dxa"/>
            <w:vMerge/>
          </w:tcPr>
          <w:p w:rsidR="00C20FC2" w:rsidRDefault="00C20FC2" w:rsidP="0030613D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:rsidR="00C20FC2" w:rsidRPr="008F71F8" w:rsidRDefault="00C20FC2" w:rsidP="000B28B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:rsidR="00C20FC2" w:rsidRPr="008F71F8" w:rsidRDefault="00C20FC2" w:rsidP="0030613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</w:tcPr>
          <w:p w:rsidR="00C20FC2" w:rsidRPr="008F71F8" w:rsidRDefault="00C20FC2" w:rsidP="00C20F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</w:tcBorders>
            <w:shd w:val="clear" w:color="auto" w:fill="D9D9D9" w:themeFill="background1" w:themeFillShade="D9"/>
          </w:tcPr>
          <w:p w:rsidR="00C20FC2" w:rsidRPr="008F71F8" w:rsidRDefault="00C20FC2" w:rsidP="00C20FC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002F5EC1" wp14:editId="3452CEE2">
                  <wp:extent cx="390953" cy="37015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hazar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21" cy="37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C20FC2" w:rsidRPr="008F71F8" w:rsidRDefault="00C20FC2" w:rsidP="0030613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037F5" w:rsidTr="00C20FC2">
        <w:tc>
          <w:tcPr>
            <w:tcW w:w="1350" w:type="dxa"/>
          </w:tcPr>
          <w:p w:rsidR="001037F5" w:rsidRPr="008F71F8" w:rsidRDefault="001037F5" w:rsidP="0030613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71F8">
              <w:rPr>
                <w:rFonts w:ascii="Garamond" w:hAnsi="Garamond"/>
                <w:b/>
                <w:sz w:val="24"/>
                <w:szCs w:val="24"/>
              </w:rPr>
              <w:t>Examples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037F5" w:rsidRPr="000B28B8" w:rsidRDefault="001037F5" w:rsidP="00E66D82">
            <w:pPr>
              <w:rPr>
                <w:rFonts w:ascii="Garamond" w:hAnsi="Garamond"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>All needles</w:t>
            </w:r>
            <w:r w:rsidR="00576854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blades </w:t>
            </w:r>
            <w:r w:rsidRPr="000B28B8">
              <w:rPr>
                <w:rFonts w:ascii="Garamond" w:hAnsi="Garamond"/>
                <w:sz w:val="24"/>
                <w:szCs w:val="24"/>
              </w:rPr>
              <w:t xml:space="preserve">and syringes 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037F5" w:rsidRPr="000B28B8" w:rsidRDefault="001037F5" w:rsidP="0030613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Pasteur pipettes, pipette tips, transfer pipettes, chemical bottles that have been triple rinsed and label defaced, slides, cover slips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20FC2" w:rsidRDefault="001037F5" w:rsidP="00C20FC2">
            <w:pPr>
              <w:rPr>
                <w:rFonts w:ascii="Garamond" w:hAnsi="Garamond"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>All needles and syringes; Pasteur pipettes, all blades, blood vials, needles with attached tubing, mic</w:t>
            </w:r>
            <w:r w:rsidR="00C20FC2">
              <w:rPr>
                <w:rFonts w:ascii="Garamond" w:hAnsi="Garamond"/>
                <w:sz w:val="24"/>
                <w:szCs w:val="24"/>
              </w:rPr>
              <w:t>roscope slides and cover slips;</w:t>
            </w:r>
          </w:p>
          <w:p w:rsidR="001037F5" w:rsidRPr="000B28B8" w:rsidRDefault="00C20FC2" w:rsidP="00C20FC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5F587C">
              <w:rPr>
                <w:rFonts w:ascii="Garamond" w:hAnsi="Garamond"/>
                <w:sz w:val="24"/>
                <w:szCs w:val="24"/>
              </w:rPr>
              <w:t xml:space="preserve">roken/unbroken glass </w:t>
            </w:r>
            <w:r>
              <w:rPr>
                <w:rFonts w:ascii="Garamond" w:hAnsi="Garamond"/>
                <w:sz w:val="24"/>
                <w:szCs w:val="24"/>
              </w:rPr>
              <w:t xml:space="preserve">and plastic ware that can shatter or break </w:t>
            </w:r>
            <w:r w:rsidR="005F587C">
              <w:rPr>
                <w:rFonts w:ascii="Garamond" w:hAnsi="Garamond"/>
                <w:sz w:val="24"/>
                <w:szCs w:val="24"/>
              </w:rPr>
              <w:t>that ha</w:t>
            </w:r>
            <w:r>
              <w:rPr>
                <w:rFonts w:ascii="Garamond" w:hAnsi="Garamond"/>
                <w:sz w:val="24"/>
                <w:szCs w:val="24"/>
              </w:rPr>
              <w:t>s contacted BSL 1 or 2 materials, rDNA, human or animal tissues/cells.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1037F5" w:rsidRPr="000B28B8" w:rsidRDefault="001037F5" w:rsidP="00363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Culture plates,  culture flasks, tubing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65B42" w:rsidRPr="00F65B42" w:rsidRDefault="00F65B42" w:rsidP="00F65B42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65B42">
              <w:rPr>
                <w:rFonts w:ascii="Garamond" w:eastAsia="Times New Roman" w:hAnsi="Garamond" w:cs="Times New Roman"/>
                <w:sz w:val="24"/>
                <w:szCs w:val="24"/>
              </w:rPr>
              <w:t>Liquid growth media removed from human tissue cultures</w:t>
            </w:r>
          </w:p>
          <w:p w:rsidR="001037F5" w:rsidRPr="00F65B42" w:rsidRDefault="001037F5" w:rsidP="003061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037F5" w:rsidTr="00C20FC2">
        <w:tc>
          <w:tcPr>
            <w:tcW w:w="1350" w:type="dxa"/>
          </w:tcPr>
          <w:p w:rsidR="001037F5" w:rsidRPr="008F71F8" w:rsidRDefault="001037F5" w:rsidP="0030613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71F8">
              <w:rPr>
                <w:rFonts w:ascii="Garamond" w:hAnsi="Garamond"/>
                <w:b/>
                <w:sz w:val="24"/>
                <w:szCs w:val="24"/>
              </w:rPr>
              <w:t>Container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037F5" w:rsidRPr="000B28B8" w:rsidRDefault="001037F5" w:rsidP="0030613D">
            <w:pPr>
              <w:rPr>
                <w:rFonts w:ascii="Garamond" w:hAnsi="Garamond"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 xml:space="preserve">Place directly into </w:t>
            </w:r>
            <w:r w:rsidRPr="00C20FC2">
              <w:rPr>
                <w:rFonts w:ascii="Garamond" w:hAnsi="Garamond"/>
                <w:b/>
                <w:sz w:val="24"/>
                <w:szCs w:val="24"/>
              </w:rPr>
              <w:t>leak-proof puncture resistant sharps containers.</w:t>
            </w:r>
            <w:r w:rsidRPr="000B28B8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037F5" w:rsidRPr="000B28B8" w:rsidRDefault="001037F5" w:rsidP="0030613D">
            <w:pPr>
              <w:rPr>
                <w:rFonts w:ascii="Garamond" w:hAnsi="Garamond"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 xml:space="preserve">Lab </w:t>
            </w:r>
            <w:r>
              <w:rPr>
                <w:rFonts w:ascii="Garamond" w:hAnsi="Garamond"/>
                <w:sz w:val="24"/>
                <w:szCs w:val="24"/>
              </w:rPr>
              <w:t>glassware b</w:t>
            </w:r>
            <w:r w:rsidRPr="000B28B8">
              <w:rPr>
                <w:rFonts w:ascii="Garamond" w:hAnsi="Garamond"/>
                <w:sz w:val="24"/>
                <w:szCs w:val="24"/>
              </w:rPr>
              <w:t>ox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037F5" w:rsidRPr="000B28B8" w:rsidRDefault="001037F5" w:rsidP="001037F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>Place directly into leak-proof puncture resistant sharps containers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1037F5" w:rsidRPr="00DB5329" w:rsidRDefault="001037F5" w:rsidP="0030613D">
            <w:pPr>
              <w:rPr>
                <w:rFonts w:ascii="Garamond" w:hAnsi="Garamond"/>
                <w:sz w:val="24"/>
                <w:szCs w:val="24"/>
              </w:rPr>
            </w:pPr>
            <w:r w:rsidRPr="00DB5329">
              <w:rPr>
                <w:rFonts w:ascii="Garamond" w:hAnsi="Garamond"/>
                <w:sz w:val="24"/>
                <w:szCs w:val="24"/>
              </w:rPr>
              <w:t>Regulated medical waste box lined with a red bag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037F5" w:rsidRPr="00F65B42" w:rsidRDefault="00F65B42" w:rsidP="0030613D">
            <w:pPr>
              <w:rPr>
                <w:rFonts w:ascii="Garamond" w:hAnsi="Garamond"/>
                <w:sz w:val="24"/>
                <w:szCs w:val="24"/>
              </w:rPr>
            </w:pPr>
            <w:r w:rsidRPr="00F65B42">
              <w:rPr>
                <w:rFonts w:ascii="Garamond" w:hAnsi="Garamond"/>
                <w:sz w:val="24"/>
                <w:szCs w:val="24"/>
              </w:rPr>
              <w:t>Varies</w:t>
            </w:r>
          </w:p>
        </w:tc>
      </w:tr>
      <w:tr w:rsidR="001037F5" w:rsidTr="00C20FC2">
        <w:tc>
          <w:tcPr>
            <w:tcW w:w="1350" w:type="dxa"/>
          </w:tcPr>
          <w:p w:rsidR="001037F5" w:rsidRPr="008F71F8" w:rsidRDefault="001037F5" w:rsidP="0030613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71F8">
              <w:rPr>
                <w:rFonts w:ascii="Garamond" w:hAnsi="Garamond"/>
                <w:b/>
                <w:sz w:val="24"/>
                <w:szCs w:val="24"/>
              </w:rPr>
              <w:t>Processing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037F5" w:rsidRPr="000B28B8" w:rsidRDefault="001037F5" w:rsidP="00656B1E">
            <w:pPr>
              <w:rPr>
                <w:rFonts w:ascii="Garamond" w:hAnsi="Garamond"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 xml:space="preserve">When sharps container is ¾ </w:t>
            </w:r>
            <w:r w:rsidR="008F328F">
              <w:rPr>
                <w:rFonts w:ascii="Garamond" w:hAnsi="Garamond"/>
                <w:sz w:val="24"/>
                <w:szCs w:val="24"/>
              </w:rPr>
              <w:t xml:space="preserve">full, close and lock lid, </w:t>
            </w:r>
            <w:proofErr w:type="gramStart"/>
            <w:r w:rsidR="008F328F">
              <w:rPr>
                <w:rFonts w:ascii="Garamond" w:hAnsi="Garamond"/>
                <w:sz w:val="24"/>
                <w:szCs w:val="24"/>
              </w:rPr>
              <w:t xml:space="preserve">place </w:t>
            </w:r>
            <w:r w:rsidR="00656B1E">
              <w:rPr>
                <w:rFonts w:ascii="Garamond" w:hAnsi="Garamond"/>
                <w:sz w:val="24"/>
                <w:szCs w:val="24"/>
              </w:rPr>
              <w:t xml:space="preserve"> a</w:t>
            </w:r>
            <w:proofErr w:type="gramEnd"/>
            <w:r w:rsidR="00656B1E">
              <w:rPr>
                <w:rFonts w:ascii="Garamond" w:hAnsi="Garamond"/>
                <w:sz w:val="24"/>
                <w:szCs w:val="24"/>
              </w:rPr>
              <w:t xml:space="preserve"> regulated medical waste</w:t>
            </w:r>
            <w:r w:rsidRPr="000B28B8">
              <w:rPr>
                <w:rFonts w:ascii="Garamond" w:hAnsi="Garamond"/>
                <w:sz w:val="24"/>
                <w:szCs w:val="24"/>
              </w:rPr>
              <w:t xml:space="preserve"> label on the container.  P</w:t>
            </w:r>
            <w:r w:rsidR="00656B1E">
              <w:rPr>
                <w:rFonts w:ascii="Garamond" w:hAnsi="Garamond"/>
                <w:sz w:val="24"/>
                <w:szCs w:val="24"/>
              </w:rPr>
              <w:t>ut</w:t>
            </w:r>
            <w:r w:rsidRPr="000B28B8">
              <w:rPr>
                <w:rFonts w:ascii="Garamond" w:hAnsi="Garamond"/>
                <w:sz w:val="24"/>
                <w:szCs w:val="24"/>
              </w:rPr>
              <w:t xml:space="preserve"> sharps container into regulated medical waste box.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037F5" w:rsidRPr="000B28B8" w:rsidRDefault="001037F5" w:rsidP="0030613D">
            <w:pPr>
              <w:rPr>
                <w:rFonts w:ascii="Garamond" w:hAnsi="Garamond"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>Seal box when ¾ full for removal by janitorial staff.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037F5" w:rsidRPr="000B28B8" w:rsidRDefault="001037F5" w:rsidP="0057685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>When sharps container</w:t>
            </w:r>
            <w:r w:rsidR="00576854">
              <w:rPr>
                <w:rFonts w:ascii="Garamond" w:hAnsi="Garamond"/>
                <w:sz w:val="24"/>
                <w:szCs w:val="24"/>
              </w:rPr>
              <w:t xml:space="preserve"> is ¾ full, close and lock lid.  Place a regulated medical waste label</w:t>
            </w:r>
            <w:r w:rsidRPr="000B28B8">
              <w:rPr>
                <w:rFonts w:ascii="Garamond" w:hAnsi="Garamond"/>
                <w:sz w:val="24"/>
                <w:szCs w:val="24"/>
              </w:rPr>
              <w:t xml:space="preserve"> on the container.  Place </w:t>
            </w:r>
            <w:r w:rsidR="00576854">
              <w:rPr>
                <w:rFonts w:ascii="Garamond" w:hAnsi="Garamond"/>
                <w:sz w:val="24"/>
                <w:szCs w:val="24"/>
              </w:rPr>
              <w:t xml:space="preserve">locked </w:t>
            </w:r>
            <w:r w:rsidRPr="000B28B8">
              <w:rPr>
                <w:rFonts w:ascii="Garamond" w:hAnsi="Garamond"/>
                <w:sz w:val="24"/>
                <w:szCs w:val="24"/>
              </w:rPr>
              <w:t>sharps container into regulated medical waste box.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1037F5" w:rsidRPr="008F71F8" w:rsidRDefault="001037F5" w:rsidP="00C20FC2">
            <w:pPr>
              <w:spacing w:beforeAutospacing="1" w:after="100" w:afterAutospacing="1"/>
              <w:ind w:firstLine="5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Inactivate</w:t>
            </w:r>
            <w:r w:rsidRPr="00DB532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waste materials associated with agents infectious to humans (by autoclave or chemical disinfectant known to be effective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).  Place all bagged waste into medical waste box that has been lined with a red bag. Place medical waste label</w:t>
            </w:r>
            <w:r w:rsidR="00C20FC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on red bag and box, tape box closed.  Boxes should not weigh more than 35 </w:t>
            </w:r>
            <w:r w:rsidR="0004557F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lbs.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037F5" w:rsidRDefault="001037F5" w:rsidP="0030613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Pr="00DB5329">
              <w:rPr>
                <w:rFonts w:ascii="Garamond" w:hAnsi="Garamond"/>
                <w:sz w:val="24"/>
                <w:szCs w:val="24"/>
              </w:rPr>
              <w:t>ust be autoclaved or mixed with a disinfectant prior to disposal into the sanitary sewer.</w:t>
            </w:r>
          </w:p>
        </w:tc>
      </w:tr>
      <w:tr w:rsidR="001037F5" w:rsidTr="00C20FC2">
        <w:tc>
          <w:tcPr>
            <w:tcW w:w="1350" w:type="dxa"/>
          </w:tcPr>
          <w:p w:rsidR="001037F5" w:rsidRPr="008F71F8" w:rsidRDefault="001037F5" w:rsidP="0030613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71F8">
              <w:rPr>
                <w:rFonts w:ascii="Garamond" w:hAnsi="Garamond"/>
                <w:b/>
                <w:sz w:val="24"/>
                <w:szCs w:val="24"/>
              </w:rPr>
              <w:t>Container Source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037F5" w:rsidRPr="000B28B8" w:rsidRDefault="001037F5" w:rsidP="00656B1E">
            <w:pPr>
              <w:rPr>
                <w:rFonts w:ascii="Garamond" w:hAnsi="Garamond"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>User must purchase</w:t>
            </w:r>
            <w:r w:rsidR="00656B1E">
              <w:rPr>
                <w:rFonts w:ascii="Garamond" w:hAnsi="Garamond"/>
                <w:sz w:val="24"/>
                <w:szCs w:val="24"/>
              </w:rPr>
              <w:t xml:space="preserve"> sharps container. </w:t>
            </w:r>
            <w:r w:rsidR="00656B1E">
              <w:rPr>
                <w:rFonts w:ascii="Garamond" w:hAnsi="Garamond"/>
                <w:sz w:val="24"/>
                <w:szCs w:val="24"/>
              </w:rPr>
              <w:t xml:space="preserve">Regulated medical waste boxes, bags, labels </w:t>
            </w:r>
            <w:r w:rsidR="00656B1E">
              <w:rPr>
                <w:rFonts w:ascii="Garamond" w:hAnsi="Garamond"/>
                <w:sz w:val="24"/>
                <w:szCs w:val="24"/>
              </w:rPr>
              <w:t xml:space="preserve">are </w:t>
            </w:r>
            <w:r w:rsidR="00656B1E">
              <w:rPr>
                <w:rFonts w:ascii="Garamond" w:hAnsi="Garamond"/>
                <w:sz w:val="24"/>
                <w:szCs w:val="24"/>
              </w:rPr>
              <w:t>in Chemistry stock room.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037F5" w:rsidRPr="000B28B8" w:rsidRDefault="001037F5" w:rsidP="0030613D">
            <w:pPr>
              <w:rPr>
                <w:rFonts w:ascii="Garamond" w:hAnsi="Garamond"/>
                <w:sz w:val="24"/>
                <w:szCs w:val="24"/>
              </w:rPr>
            </w:pPr>
            <w:r w:rsidRPr="000B28B8">
              <w:rPr>
                <w:rFonts w:ascii="Garamond" w:hAnsi="Garamond"/>
                <w:sz w:val="24"/>
                <w:szCs w:val="24"/>
              </w:rPr>
              <w:t>User must purchase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037F5" w:rsidRPr="000B28B8" w:rsidRDefault="00576854" w:rsidP="00C20FC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User must purchase sharps container.  </w:t>
            </w:r>
            <w:r w:rsidR="00C20FC2">
              <w:rPr>
                <w:rFonts w:ascii="Garamond" w:hAnsi="Garamond"/>
                <w:sz w:val="24"/>
                <w:szCs w:val="24"/>
              </w:rPr>
              <w:t>Regulated medical waste boxes, bags,</w:t>
            </w:r>
            <w:r>
              <w:rPr>
                <w:rFonts w:ascii="Garamond" w:hAnsi="Garamond"/>
                <w:sz w:val="24"/>
                <w:szCs w:val="24"/>
              </w:rPr>
              <w:t xml:space="preserve"> labels available in Chemistry stock room. 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1037F5" w:rsidRPr="000B28B8" w:rsidRDefault="001037F5" w:rsidP="008F71F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B5329">
              <w:rPr>
                <w:rFonts w:ascii="Garamond" w:hAnsi="Garamond"/>
                <w:sz w:val="24"/>
                <w:szCs w:val="24"/>
              </w:rPr>
              <w:t>Regulated medical waste boxes and red</w:t>
            </w:r>
            <w:r>
              <w:rPr>
                <w:rFonts w:ascii="Garamond" w:hAnsi="Garamond"/>
                <w:sz w:val="24"/>
                <w:szCs w:val="24"/>
              </w:rPr>
              <w:t xml:space="preserve"> liner</w:t>
            </w:r>
            <w:r w:rsidRPr="00DB5329">
              <w:rPr>
                <w:rFonts w:ascii="Garamond" w:hAnsi="Garamond"/>
                <w:sz w:val="24"/>
                <w:szCs w:val="24"/>
              </w:rPr>
              <w:t xml:space="preserve"> bags are 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DB5329">
              <w:rPr>
                <w:rFonts w:ascii="Garamond" w:hAnsi="Garamond"/>
                <w:sz w:val="24"/>
                <w:szCs w:val="24"/>
              </w:rPr>
              <w:t>vailable</w:t>
            </w:r>
            <w:r>
              <w:rPr>
                <w:rFonts w:ascii="Garamond" w:hAnsi="Garamond"/>
                <w:sz w:val="24"/>
                <w:szCs w:val="24"/>
              </w:rPr>
              <w:t xml:space="preserve"> in the Chemistry stock room.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037F5" w:rsidRPr="00DB5329" w:rsidRDefault="001037F5" w:rsidP="0030613D">
            <w:pPr>
              <w:rPr>
                <w:rFonts w:ascii="Garamond" w:hAnsi="Garamond"/>
                <w:sz w:val="24"/>
                <w:szCs w:val="24"/>
              </w:rPr>
            </w:pPr>
            <w:r w:rsidRPr="00DB5329">
              <w:rPr>
                <w:rFonts w:ascii="Garamond" w:hAnsi="Garamond"/>
                <w:sz w:val="24"/>
                <w:szCs w:val="24"/>
              </w:rPr>
              <w:t>User must provide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30613D" w:rsidRPr="008F328F" w:rsidRDefault="00381F89" w:rsidP="00656B1E">
      <w:pPr>
        <w:ind w:hanging="117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*recombinant </w:t>
      </w:r>
      <w:bookmarkStart w:id="0" w:name="_GoBack"/>
      <w:bookmarkEnd w:id="0"/>
      <w:r>
        <w:rPr>
          <w:rFonts w:ascii="Garamond" w:hAnsi="Garamond"/>
          <w:b/>
          <w:sz w:val="20"/>
          <w:szCs w:val="20"/>
        </w:rPr>
        <w:t xml:space="preserve">and synthetic </w:t>
      </w:r>
      <w:r w:rsidR="00656B1E">
        <w:rPr>
          <w:rFonts w:ascii="Garamond" w:hAnsi="Garamond"/>
          <w:b/>
          <w:sz w:val="20"/>
          <w:szCs w:val="20"/>
        </w:rPr>
        <w:t xml:space="preserve">nucleic acid molecules </w:t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656B1E">
        <w:rPr>
          <w:rFonts w:ascii="Garamond" w:hAnsi="Garamond"/>
          <w:b/>
          <w:sz w:val="20"/>
          <w:szCs w:val="20"/>
        </w:rPr>
        <w:tab/>
      </w:r>
      <w:r w:rsidR="008F328F">
        <w:rPr>
          <w:rFonts w:ascii="Garamond" w:hAnsi="Garamond"/>
          <w:b/>
          <w:sz w:val="20"/>
          <w:szCs w:val="20"/>
        </w:rPr>
        <w:t>June 2014</w:t>
      </w:r>
    </w:p>
    <w:sectPr w:rsidR="0030613D" w:rsidRPr="008F328F" w:rsidSect="00656B1E">
      <w:headerReference w:type="even" r:id="rId9"/>
      <w:headerReference w:type="default" r:id="rId10"/>
      <w:headerReference w:type="first" r:id="rId11"/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A8" w:rsidRDefault="004054A8" w:rsidP="004054A8">
      <w:pPr>
        <w:spacing w:after="0" w:line="240" w:lineRule="auto"/>
      </w:pPr>
      <w:r>
        <w:separator/>
      </w:r>
    </w:p>
  </w:endnote>
  <w:endnote w:type="continuationSeparator" w:id="0">
    <w:p w:rsidR="004054A8" w:rsidRDefault="004054A8" w:rsidP="0040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A8" w:rsidRDefault="004054A8" w:rsidP="004054A8">
      <w:pPr>
        <w:spacing w:after="0" w:line="240" w:lineRule="auto"/>
      </w:pPr>
      <w:r>
        <w:separator/>
      </w:r>
    </w:p>
  </w:footnote>
  <w:footnote w:type="continuationSeparator" w:id="0">
    <w:p w:rsidR="004054A8" w:rsidRDefault="004054A8" w:rsidP="0040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DB1"/>
    <w:multiLevelType w:val="hybridMultilevel"/>
    <w:tmpl w:val="4EE40504"/>
    <w:lvl w:ilvl="0" w:tplc="C51C7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33CE"/>
    <w:multiLevelType w:val="multilevel"/>
    <w:tmpl w:val="41EA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F31DE"/>
    <w:multiLevelType w:val="multilevel"/>
    <w:tmpl w:val="BA0E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D"/>
    <w:rsid w:val="0004557F"/>
    <w:rsid w:val="000B28B8"/>
    <w:rsid w:val="000E707A"/>
    <w:rsid w:val="001037F5"/>
    <w:rsid w:val="001A6DA3"/>
    <w:rsid w:val="001B4A6B"/>
    <w:rsid w:val="00206BA7"/>
    <w:rsid w:val="003056A7"/>
    <w:rsid w:val="0030613D"/>
    <w:rsid w:val="00363796"/>
    <w:rsid w:val="00381F89"/>
    <w:rsid w:val="00382461"/>
    <w:rsid w:val="004054A8"/>
    <w:rsid w:val="004A3FA4"/>
    <w:rsid w:val="00542790"/>
    <w:rsid w:val="00547880"/>
    <w:rsid w:val="005624BD"/>
    <w:rsid w:val="005652BB"/>
    <w:rsid w:val="00576854"/>
    <w:rsid w:val="005F587C"/>
    <w:rsid w:val="00634EA0"/>
    <w:rsid w:val="00656B1E"/>
    <w:rsid w:val="006A4106"/>
    <w:rsid w:val="00777774"/>
    <w:rsid w:val="007B7F74"/>
    <w:rsid w:val="00870E5B"/>
    <w:rsid w:val="008F328F"/>
    <w:rsid w:val="008F71F8"/>
    <w:rsid w:val="00905362"/>
    <w:rsid w:val="009A68BA"/>
    <w:rsid w:val="009D4B87"/>
    <w:rsid w:val="00A02A7E"/>
    <w:rsid w:val="00BE5857"/>
    <w:rsid w:val="00BE5C16"/>
    <w:rsid w:val="00C20FC2"/>
    <w:rsid w:val="00C601D5"/>
    <w:rsid w:val="00CD106B"/>
    <w:rsid w:val="00DB5329"/>
    <w:rsid w:val="00E66D82"/>
    <w:rsid w:val="00F65B42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5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4A8"/>
  </w:style>
  <w:style w:type="paragraph" w:styleId="Footer">
    <w:name w:val="footer"/>
    <w:basedOn w:val="Normal"/>
    <w:link w:val="FooterChar"/>
    <w:uiPriority w:val="99"/>
    <w:semiHidden/>
    <w:unhideWhenUsed/>
    <w:rsid w:val="0040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5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4A8"/>
  </w:style>
  <w:style w:type="paragraph" w:styleId="Footer">
    <w:name w:val="footer"/>
    <w:basedOn w:val="Normal"/>
    <w:link w:val="FooterChar"/>
    <w:uiPriority w:val="99"/>
    <w:semiHidden/>
    <w:unhideWhenUsed/>
    <w:rsid w:val="0040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Wagner</dc:creator>
  <cp:lastModifiedBy>Jacqueline Wagner</cp:lastModifiedBy>
  <cp:revision>2</cp:revision>
  <cp:lastPrinted>2014-06-16T14:48:00Z</cp:lastPrinted>
  <dcterms:created xsi:type="dcterms:W3CDTF">2015-04-15T19:12:00Z</dcterms:created>
  <dcterms:modified xsi:type="dcterms:W3CDTF">2015-04-15T19:12:00Z</dcterms:modified>
</cp:coreProperties>
</file>